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A0E" w:rsidRPr="006F57BA" w:rsidRDefault="00D03A0E" w:rsidP="00A77B75">
      <w:pPr>
        <w:pStyle w:val="NormalWeb"/>
        <w:spacing w:before="0" w:beforeAutospacing="0" w:after="120" w:afterAutospacing="0"/>
        <w:ind w:firstLine="709"/>
        <w:jc w:val="both"/>
        <w:rPr>
          <w:b/>
          <w:iCs/>
          <w:sz w:val="28"/>
          <w:szCs w:val="28"/>
          <w:shd w:val="clear" w:color="auto" w:fill="FFFFFF"/>
        </w:rPr>
      </w:pPr>
      <w:r w:rsidRPr="006F57BA">
        <w:rPr>
          <w:b/>
          <w:iCs/>
          <w:sz w:val="28"/>
          <w:szCs w:val="28"/>
          <w:shd w:val="clear" w:color="auto" w:fill="FFFFFF"/>
        </w:rPr>
        <w:t>1. Thành phần hồ sơ:</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xml:space="preserve">a) Văn bản đề nghị </w:t>
      </w:r>
      <w:r w:rsidRPr="006F57BA">
        <w:rPr>
          <w:color w:val="000000"/>
          <w:sz w:val="28"/>
          <w:szCs w:val="28"/>
        </w:rPr>
        <w:t>chấp thuận nhà đầu tư</w:t>
      </w:r>
      <w:r w:rsidRPr="006F57BA">
        <w:rPr>
          <w:color w:val="000000"/>
          <w:sz w:val="28"/>
          <w:szCs w:val="28"/>
          <w:lang w:val="vi-VN"/>
        </w:rPr>
        <w:t>;</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b) Tài liệu về tư cách pháp lý của nhà đầu tư;</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c)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d) Nội dung giải trình về công nghệ sử dụng trong dự án đầu tư đối với dự án thuộc diện thẩm định, lấy ý kiến về công nghệ theo quy định của pháp luật về chuyển giao công nghệ;</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đ) Hợp đồng BCC đối với dự án đầu tư theo hình thức hợp đồng BCC;</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rPr>
        <w:t>e</w:t>
      </w:r>
      <w:r w:rsidRPr="006F57BA">
        <w:rPr>
          <w:color w:val="000000"/>
          <w:sz w:val="28"/>
          <w:szCs w:val="28"/>
          <w:lang w:val="vi-VN"/>
        </w:rPr>
        <w:t>) Tài liệu khác liên quan đến dự án đầu tư, yêu cầu về điều kiện, năng lực của nhà đầu tư theo quy định của pháp luật (nếu có).</w:t>
      </w:r>
    </w:p>
    <w:p w:rsidR="00D03A0E" w:rsidRPr="006F57BA" w:rsidRDefault="00D03A0E" w:rsidP="00A77B75">
      <w:pPr>
        <w:spacing w:after="120" w:line="240" w:lineRule="auto"/>
        <w:ind w:firstLine="720"/>
        <w:jc w:val="both"/>
        <w:rPr>
          <w:szCs w:val="28"/>
          <w:shd w:val="clear" w:color="auto" w:fill="FFFFFF"/>
        </w:rPr>
      </w:pPr>
      <w:r w:rsidRPr="006F57BA">
        <w:rPr>
          <w:b/>
          <w:szCs w:val="28"/>
          <w:lang w:val="it-IT"/>
        </w:rPr>
        <w:t xml:space="preserve">2. </w:t>
      </w:r>
      <w:r w:rsidRPr="006F57BA">
        <w:rPr>
          <w:b/>
          <w:szCs w:val="28"/>
          <w:shd w:val="clear" w:color="auto" w:fill="FFFFFF"/>
        </w:rPr>
        <w:t>Số lượng hồ sơ:</w:t>
      </w:r>
      <w:r w:rsidRPr="006F57BA">
        <w:rPr>
          <w:szCs w:val="28"/>
          <w:shd w:val="clear" w:color="auto" w:fill="FFFFFF"/>
        </w:rPr>
        <w:t xml:space="preserve"> 04 bộ hồ sơ bản giấy. Ngoài ra, nhà đầu tư có thể nộp thêm 01 bộ hồ sơ bản điện tử (file pdf).</w:t>
      </w:r>
    </w:p>
    <w:p w:rsidR="00D03A0E" w:rsidRPr="006F57BA" w:rsidRDefault="00D03A0E" w:rsidP="00A77B75">
      <w:pPr>
        <w:spacing w:after="120" w:line="240" w:lineRule="auto"/>
        <w:ind w:firstLine="720"/>
        <w:jc w:val="both"/>
        <w:rPr>
          <w:szCs w:val="28"/>
          <w:shd w:val="clear" w:color="auto" w:fill="FFFFFF"/>
        </w:rPr>
      </w:pPr>
      <w:r w:rsidRPr="006F57BA">
        <w:rPr>
          <w:b/>
          <w:szCs w:val="28"/>
          <w:shd w:val="clear" w:color="auto" w:fill="FFFFFF"/>
        </w:rPr>
        <w:t>3. Thời gian thực hiện thủ tục hành chính:</w:t>
      </w:r>
      <w:r w:rsidRPr="006F57BA">
        <w:rPr>
          <w:szCs w:val="28"/>
          <w:shd w:val="clear" w:color="auto" w:fill="FFFFFF"/>
        </w:rPr>
        <w:t xml:space="preserve"> 35 ngày (đối với trường hợp chấp thuận nhà đầu tư tại khu vực giao cho </w:t>
      </w:r>
      <w:r w:rsidRPr="006F57BA">
        <w:rPr>
          <w:szCs w:val="28"/>
        </w:rPr>
        <w:t>Ban Quản lý Khu kinh tế cửa khẩu Đồng Đăng – Lạng Sơn</w:t>
      </w:r>
      <w:r w:rsidRPr="006F57BA">
        <w:rPr>
          <w:szCs w:val="28"/>
          <w:shd w:val="clear" w:color="auto" w:fill="FFFFFF"/>
        </w:rPr>
        <w:t xml:space="preserve"> thì thời gian thực hiện thủ tục hành chính là 28 ngày).</w:t>
      </w:r>
    </w:p>
    <w:p w:rsidR="00D03A0E" w:rsidRPr="006F57BA" w:rsidRDefault="00D03A0E" w:rsidP="00A77B75">
      <w:pPr>
        <w:spacing w:after="120" w:line="240" w:lineRule="auto"/>
        <w:ind w:firstLine="720"/>
        <w:jc w:val="both"/>
        <w:rPr>
          <w:b/>
          <w:szCs w:val="28"/>
          <w:shd w:val="clear" w:color="auto" w:fill="FFFFFF"/>
        </w:rPr>
      </w:pPr>
      <w:r w:rsidRPr="006F57BA">
        <w:rPr>
          <w:b/>
          <w:szCs w:val="28"/>
          <w:shd w:val="clear" w:color="auto" w:fill="FFFFFF"/>
        </w:rPr>
        <w:t>4. Trình tự thực hiện:</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a) Bước 1: Nhà đầu tư có thẩm quyền nộp hồ sơ hợp lệ đến cơ quan đăng ký đầu tư.</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b) Bước 2: Cơ quan đăng ký đầu tư kiểm tra tính hợp lệ của hồ sơ và gửi hồ sơ lấy ý kiến thẩm định của các cơ quan liên quan. Trong trường hợp hồ sơ tiếp nhận chưa hợp lệ, cơ quan đang ký đầu tư trả hồ sơ và nêu rõ lý do.</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 xml:space="preserve">c) Bước 3: Trong thời hạn tối đa 15 ngày, các cơ quan được lấy ý kiến có trách nhiệm gửi ý kiến tham gia thẩm định về cơ quan đăng ký đầu tư. </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d) Bước 4: Cơ quan đăng ký đầu tư sau khi nhận được ý kiến của các cơ quan liên quan, triển khai thực hiện theo theo các trường hợp sau:</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 Trường hợp đề xuất dự án cơ bản đáp ứng các nội dung thẩm định, tuy nhiên cần yêu cầu sửa đổi, bổ sung hồ sơ, cơ quan tiếp nhận hồ sơ thông báo 01 lần bằng văn bản về toàn bộ nội dung cần phải sửa đổi, bổ sung với mỗi bộ hồ sơ. Thông báo phải nêu rõ căn cứ, nội dung và thời gian sửa đổi, bổ sung hồ sơ. Nhà đầu tư có trách nhiệm sửa đổi, bổ sung hồ sơ trong thời gian ghi tại văn bản thông báo của cơ quan tiếp nhận hồ sơ. Trường hợp nhà đầu tư không sửa đổi, bổ sung hồ sơ trong thời hạn đã được thông báo (hoặc không giải trình theo yêu cầu), cơ quan đăng ký đầu tư xem xét dừng giải quyết hồ sơ và thông báo bằng văn bản cho nhà đầu tư/cơ quan nhà nước</w:t>
      </w:r>
      <w:r w:rsidRPr="006F57BA">
        <w:rPr>
          <w:i/>
          <w:szCs w:val="28"/>
          <w:shd w:val="clear" w:color="auto" w:fill="FFFFFF"/>
        </w:rPr>
        <w:t xml:space="preserve"> (Lưu ý: Thời gian sửa đổi, bổ sung hồ sơ hoặc giải trình của nhà đầu tư và thời gian xử lý vi phạm hành chính trong lĩnh vực </w:t>
      </w:r>
      <w:r w:rsidRPr="006F57BA">
        <w:rPr>
          <w:i/>
          <w:szCs w:val="28"/>
          <w:shd w:val="clear" w:color="auto" w:fill="FFFFFF"/>
        </w:rPr>
        <w:lastRenderedPageBreak/>
        <w:t>đầu tư (nếu có) không được tính vào thời gian giải quyết thủ tục theo quy định của Luật Đầu tư và Nghị định 31/2021/NĐ-CP).</w:t>
      </w:r>
    </w:p>
    <w:p w:rsidR="00D03A0E" w:rsidRPr="006F57BA" w:rsidRDefault="00D03A0E" w:rsidP="00A77B75">
      <w:pPr>
        <w:spacing w:after="120" w:line="240" w:lineRule="auto"/>
        <w:ind w:firstLine="720"/>
        <w:jc w:val="both"/>
        <w:rPr>
          <w:szCs w:val="28"/>
          <w:lang w:val="nl-NL"/>
        </w:rPr>
      </w:pPr>
      <w:r w:rsidRPr="006F57BA">
        <w:rPr>
          <w:szCs w:val="28"/>
          <w:shd w:val="clear" w:color="auto" w:fill="FFFFFF"/>
        </w:rPr>
        <w:t xml:space="preserve">- Trường hợp hồ sơ của nhà đầu tư đáp ứng yêu cầu (bao gồm cả trường hợp sau khi sửa đổi, bổ sung), cơ quan đăng ký đầu tư lập báo cáo thẩm định trình cơ quan có thẩm quyền phê duyệt chấp thuận nhà đầu tư xem xét, quyết định. </w:t>
      </w:r>
    </w:p>
    <w:p w:rsidR="00A75369" w:rsidRPr="006C4818" w:rsidRDefault="00D03A0E" w:rsidP="006C4818">
      <w:pPr>
        <w:spacing w:after="120" w:line="240" w:lineRule="auto"/>
        <w:ind w:firstLine="709"/>
        <w:jc w:val="both"/>
        <w:rPr>
          <w:szCs w:val="28"/>
        </w:rPr>
      </w:pPr>
      <w:r w:rsidRPr="006F57BA">
        <w:rPr>
          <w:szCs w:val="28"/>
          <w:lang w:val="nl-NL"/>
        </w:rPr>
        <w:t xml:space="preserve"> đ) Bước 5: </w:t>
      </w:r>
      <w:r w:rsidRPr="006F57BA">
        <w:rPr>
          <w:szCs w:val="28"/>
          <w:shd w:val="clear" w:color="auto" w:fill="FFFFFF"/>
        </w:rPr>
        <w:t xml:space="preserve">Sau khi nhận được báo cáo thẩm định và hồ sơ kèm theo của cơ quan đăng ký đầu tư, UBND tỉnh thực hiện chấp thuận nhà đầu tư thực hiện dự án. </w:t>
      </w:r>
      <w:r w:rsidRPr="006F57BA">
        <w:rPr>
          <w:szCs w:val="28"/>
        </w:rPr>
        <w:t xml:space="preserve">Ban Quản lý Khu kinh tế cửa khẩu Đồng Đăng – Lạng Sơn </w:t>
      </w:r>
      <w:r w:rsidRPr="006F57BA">
        <w:rPr>
          <w:szCs w:val="28"/>
          <w:lang w:val="vi-VN"/>
        </w:rPr>
        <w:t xml:space="preserve">chấp thuận nhà đầu tư </w:t>
      </w:r>
      <w:r w:rsidRPr="006F57BA">
        <w:rPr>
          <w:szCs w:val="28"/>
          <w:lang w:val="nl-NL"/>
        </w:rPr>
        <w:t xml:space="preserve">nằm trong phạm vi </w:t>
      </w:r>
      <w:r w:rsidRPr="006F57BA">
        <w:rPr>
          <w:szCs w:val="28"/>
          <w:lang w:val="it-IT"/>
        </w:rPr>
        <w:t>các khu</w:t>
      </w:r>
      <w:r w:rsidRPr="006F57BA">
        <w:rPr>
          <w:rFonts w:ascii="Arial" w:hAnsi="Arial" w:cs="Arial"/>
          <w:color w:val="000000"/>
          <w:sz w:val="18"/>
          <w:szCs w:val="18"/>
          <w:shd w:val="clear" w:color="auto" w:fill="FFFFFF"/>
        </w:rPr>
        <w:t> </w:t>
      </w:r>
      <w:r w:rsidRPr="006F57BA">
        <w:rPr>
          <w:color w:val="000000"/>
          <w:szCs w:val="28"/>
          <w:shd w:val="clear" w:color="auto" w:fill="FFFFFF"/>
        </w:rPr>
        <w:t xml:space="preserve">công nghiệp, khu chế xuất, </w:t>
      </w:r>
      <w:bookmarkStart w:id="0" w:name="_GoBack"/>
      <w:bookmarkEnd w:id="0"/>
      <w:r w:rsidRPr="006F57BA">
        <w:rPr>
          <w:color w:val="000000"/>
          <w:szCs w:val="28"/>
          <w:shd w:val="clear" w:color="auto" w:fill="FFFFFF"/>
        </w:rPr>
        <w:t>khu kinh tế.</w:t>
      </w:r>
    </w:p>
    <w:sectPr w:rsidR="00A75369" w:rsidRPr="006C4818"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8592B"/>
    <w:rsid w:val="000D64CB"/>
    <w:rsid w:val="000F1A1C"/>
    <w:rsid w:val="00280CC2"/>
    <w:rsid w:val="002B4197"/>
    <w:rsid w:val="002F75AA"/>
    <w:rsid w:val="00321236"/>
    <w:rsid w:val="00353C09"/>
    <w:rsid w:val="003E533D"/>
    <w:rsid w:val="0046391C"/>
    <w:rsid w:val="00530A86"/>
    <w:rsid w:val="0059406A"/>
    <w:rsid w:val="005D40BA"/>
    <w:rsid w:val="005F0133"/>
    <w:rsid w:val="006C4818"/>
    <w:rsid w:val="006F57BA"/>
    <w:rsid w:val="007A25AE"/>
    <w:rsid w:val="007A5A00"/>
    <w:rsid w:val="008A0353"/>
    <w:rsid w:val="008B6EA5"/>
    <w:rsid w:val="00994398"/>
    <w:rsid w:val="00A557E6"/>
    <w:rsid w:val="00A75369"/>
    <w:rsid w:val="00A77B75"/>
    <w:rsid w:val="00A853D0"/>
    <w:rsid w:val="00AC6704"/>
    <w:rsid w:val="00B4774C"/>
    <w:rsid w:val="00CE53E4"/>
    <w:rsid w:val="00D03A0E"/>
    <w:rsid w:val="00D25468"/>
    <w:rsid w:val="00D845F9"/>
    <w:rsid w:val="00D93E99"/>
    <w:rsid w:val="00F7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4774C"/>
    <w:pPr>
      <w:keepNext/>
      <w:keepLines/>
      <w:spacing w:before="240" w:after="0"/>
      <w:jc w:val="center"/>
      <w:outlineLvl w:val="0"/>
    </w:pPr>
    <w:rPr>
      <w:rFonts w:eastAsiaTheme="majorEastAsia" w:cs="Times New Roman"/>
      <w:b/>
      <w:color w:val="2E74B5"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paragraph" w:styleId="BalloonText">
    <w:name w:val="Balloon Text"/>
    <w:basedOn w:val="Normal"/>
    <w:link w:val="BalloonTextChar"/>
    <w:uiPriority w:val="99"/>
    <w:semiHidden/>
    <w:unhideWhenUsed/>
    <w:rsid w:val="00A75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369"/>
    <w:rPr>
      <w:rFonts w:ascii="Segoe UI" w:hAnsi="Segoe UI" w:cs="Segoe UI"/>
      <w:sz w:val="18"/>
      <w:szCs w:val="18"/>
    </w:rPr>
  </w:style>
  <w:style w:type="character" w:customStyle="1" w:styleId="Heading1Char">
    <w:name w:val="Heading 1 Char"/>
    <w:basedOn w:val="DefaultParagraphFont"/>
    <w:link w:val="Heading1"/>
    <w:uiPriority w:val="9"/>
    <w:rsid w:val="00B4774C"/>
    <w:rPr>
      <w:rFonts w:eastAsiaTheme="majorEastAsia" w:cs="Times New Roman"/>
      <w:b/>
      <w:color w:val="2E74B5"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cp:lastPrinted>2022-03-29T02:21:00Z</cp:lastPrinted>
  <dcterms:created xsi:type="dcterms:W3CDTF">2022-03-07T03:14:00Z</dcterms:created>
  <dcterms:modified xsi:type="dcterms:W3CDTF">2022-03-29T02:22:00Z</dcterms:modified>
</cp:coreProperties>
</file>